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6CBE4C04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764A89">
        <w:fldChar w:fldCharType="begin">
          <w:ffData>
            <w:name w:val="Nachricht"/>
            <w:enabled/>
            <w:calcOnExit/>
            <w:textInput>
              <w:default w:val="10014742"/>
            </w:textInput>
          </w:ffData>
        </w:fldChar>
      </w:r>
      <w:bookmarkStart w:id="2" w:name="Nachricht"/>
      <w:r w:rsidR="00764A89">
        <w:instrText xml:space="preserve"> FORMTEXT </w:instrText>
      </w:r>
      <w:r w:rsidR="00764A89">
        <w:fldChar w:fldCharType="separate"/>
      </w:r>
      <w:r w:rsidR="00764A89">
        <w:rPr>
          <w:noProof/>
        </w:rPr>
        <w:t>10014742</w:t>
      </w:r>
      <w:r w:rsidR="00764A89">
        <w:fldChar w:fldCharType="end"/>
      </w:r>
      <w:bookmarkEnd w:id="2"/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3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4" w:name="_Toc29219558"/>
      <w:bookmarkStart w:id="5" w:name="_Toc154582615"/>
      <w:bookmarkStart w:id="6" w:name="_Toc218866204"/>
      <w:bookmarkEnd w:id="3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7" w:name="_Hlk124872805"/>
      <w:bookmarkEnd w:id="4"/>
      <w:bookmarkEnd w:id="5"/>
      <w:bookmarkEnd w:id="6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7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8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9" w:name="_Toc57903693"/>
      <w:bookmarkStart w:id="10" w:name="_Toc154582616"/>
      <w:bookmarkStart w:id="11" w:name="_Toc218866205"/>
      <w:r w:rsidRPr="00DA5D97">
        <w:t>Grounds for exclusion</w:t>
      </w:r>
      <w:bookmarkEnd w:id="9"/>
      <w:bookmarkEnd w:id="10"/>
      <w:bookmarkEnd w:id="11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2" w:name="_Hlk124872561"/>
    </w:p>
    <w:bookmarkEnd w:id="12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3" w:name="_Hlk124872583"/>
    </w:p>
    <w:bookmarkEnd w:id="13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4" w:name="_Hlk124872688"/>
    </w:p>
    <w:bookmarkEnd w:id="14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5" w:name="_Hlk124873006"/>
    </w:p>
    <w:bookmarkEnd w:id="15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6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6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7" w:name="_Hlk124870867"/>
    </w:p>
    <w:bookmarkEnd w:id="17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8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9" w:name="_Toc108178916"/>
      <w:bookmarkEnd w:id="18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9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20" w:name="_Toc154582617"/>
      <w:bookmarkStart w:id="21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20"/>
      <w:r>
        <w:rPr>
          <w:rStyle w:val="berschrift3Zchn"/>
          <w:b/>
          <w:bCs/>
        </w:rPr>
        <w:t>)</w:t>
      </w:r>
      <w:bookmarkEnd w:id="21"/>
      <w:r>
        <w:t xml:space="preserve"> </w:t>
      </w:r>
      <w:bookmarkEnd w:id="8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2" w:name="_Toc154582618"/>
      <w:bookmarkStart w:id="23" w:name="_Toc29219560"/>
      <w:bookmarkStart w:id="24" w:name="_Toc218866207"/>
      <w:r w:rsidRPr="001E1B9C">
        <w:lastRenderedPageBreak/>
        <w:t xml:space="preserve">Information to be provided by legal </w:t>
      </w:r>
      <w:bookmarkEnd w:id="22"/>
      <w:r w:rsidRPr="00C87DCB">
        <w:t>persons</w:t>
      </w:r>
      <w:bookmarkEnd w:id="23"/>
      <w:bookmarkEnd w:id="24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5" w:name="_Hlk45642873"/>
      <w:r w:rsidRPr="001E1B9C">
        <w:rPr>
          <w:i/>
          <w:color w:val="FF0000"/>
        </w:rPr>
        <w:t>commercial register entry</w:t>
      </w:r>
      <w:bookmarkStart w:id="26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5"/>
      <w:bookmarkEnd w:id="26"/>
      <w:r w:rsidRPr="001E1B9C">
        <w:rPr>
          <w:i/>
        </w:rPr>
        <w:t xml:space="preserve"> </w:t>
      </w:r>
      <w:bookmarkStart w:id="27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7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8" w:name="_Toc29219561"/>
      <w:bookmarkStart w:id="29" w:name="_Toc154582619"/>
      <w:bookmarkStart w:id="30" w:name="_Toc218866208"/>
      <w:r w:rsidRPr="001E1B9C">
        <w:t xml:space="preserve">Information </w:t>
      </w:r>
      <w:bookmarkEnd w:id="28"/>
      <w:r w:rsidRPr="001E1B9C">
        <w:t>to be provided by candidate/bidding consortia (service delivery consortia)</w:t>
      </w:r>
      <w:bookmarkEnd w:id="29"/>
      <w:bookmarkEnd w:id="30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1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1"/>
    </w:p>
    <w:p w14:paraId="157B028F" w14:textId="1FC9C7F8" w:rsidR="00247C37" w:rsidRPr="00DA5D97" w:rsidRDefault="007273C6" w:rsidP="00D0723B">
      <w:pPr>
        <w:pStyle w:val="berschrift3"/>
      </w:pPr>
      <w:bookmarkStart w:id="32" w:name="_Toc154582620"/>
      <w:bookmarkStart w:id="33" w:name="_Toc218866209"/>
      <w:r w:rsidRPr="001E1B9C">
        <w:t>Economic and financial capacity</w:t>
      </w:r>
      <w:bookmarkEnd w:id="32"/>
      <w:bookmarkEnd w:id="33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67F978BC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4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9100D5">
            <w:rPr>
              <w:rFonts w:cs="Arial"/>
              <w:bCs/>
              <w:color w:val="000000" w:themeColor="text1"/>
              <w:szCs w:val="22"/>
            </w:rPr>
            <w:t xml:space="preserve">business area name </w:t>
          </w:r>
        </w:sdtContent>
      </w:sdt>
      <w:r w:rsidRPr="001E1B9C">
        <w:t xml:space="preserve"> </w:t>
      </w:r>
      <w:bookmarkEnd w:id="34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5" w:name="_Hlk122365554"/>
      <w:r>
        <w:t xml:space="preserve">at least </w:t>
      </w:r>
      <w:r>
        <w:rPr>
          <w:b/>
          <w:bCs/>
        </w:rPr>
        <w:t>EUR</w:t>
      </w:r>
      <w:bookmarkEnd w:id="35"/>
      <w:r w:rsidR="00A372EB">
        <w:rPr>
          <w:b/>
          <w:bCs/>
        </w:rPr>
        <w:t xml:space="preserve"> </w:t>
      </w:r>
      <w:r w:rsidR="000646F6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30.000,00"/>
            </w:textInput>
          </w:ffData>
        </w:fldChar>
      </w:r>
      <w:r w:rsidR="000646F6">
        <w:rPr>
          <w:rFonts w:cs="Arial"/>
          <w:szCs w:val="22"/>
        </w:rPr>
        <w:instrText xml:space="preserve"> FORMTEXT </w:instrText>
      </w:r>
      <w:r w:rsidR="000646F6">
        <w:rPr>
          <w:rFonts w:cs="Arial"/>
          <w:szCs w:val="22"/>
        </w:rPr>
      </w:r>
      <w:r w:rsidR="000646F6">
        <w:rPr>
          <w:rFonts w:cs="Arial"/>
          <w:szCs w:val="22"/>
        </w:rPr>
        <w:fldChar w:fldCharType="separate"/>
      </w:r>
      <w:r w:rsidR="000646F6">
        <w:rPr>
          <w:rFonts w:cs="Arial"/>
          <w:noProof/>
          <w:szCs w:val="22"/>
        </w:rPr>
        <w:t>30.000,00</w:t>
      </w:r>
      <w:r w:rsidR="000646F6">
        <w:rPr>
          <w:rFonts w:cs="Arial"/>
          <w:szCs w:val="22"/>
        </w:rPr>
        <w:fldChar w:fldCharType="end"/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731594CD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0646F6"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 w:rsidR="000646F6">
        <w:instrText xml:space="preserve"> FORMTEXT </w:instrText>
      </w:r>
      <w:r w:rsidR="000646F6">
        <w:fldChar w:fldCharType="separate"/>
      </w:r>
      <w:r w:rsidR="000646F6">
        <w:rPr>
          <w:noProof/>
        </w:rPr>
        <w:t>01</w:t>
      </w:r>
      <w:r w:rsidR="000646F6">
        <w:fldChar w:fldCharType="end"/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6" w:name="_Toc154582621"/>
      <w:bookmarkStart w:id="37" w:name="_Toc218866210"/>
      <w:r w:rsidRPr="001E1B9C">
        <w:t>Technical capacity</w:t>
      </w:r>
      <w:bookmarkEnd w:id="36"/>
      <w:bookmarkEnd w:id="37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8" w:name="_Hlk154582209"/>
      <w:r w:rsidRPr="00DA5D97">
        <w:rPr>
          <w:i/>
        </w:rPr>
        <w:t xml:space="preserve">the past three years </w:t>
      </w:r>
      <w:bookmarkEnd w:id="38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9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9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0" w:name="_Toc154582622"/>
      <w:bookmarkStart w:id="41" w:name="_Toc218866211"/>
      <w:r w:rsidRPr="001E1B9C">
        <w:t>Minimum requirements for references</w:t>
      </w:r>
      <w:bookmarkEnd w:id="40"/>
      <w:bookmarkEnd w:id="41"/>
    </w:p>
    <w:p w14:paraId="386E55F6" w14:textId="113BDE71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0646F6"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15.000,00"/>
            </w:textInput>
          </w:ffData>
        </w:fldChar>
      </w:r>
      <w:r w:rsidR="000646F6">
        <w:rPr>
          <w:b w:val="0"/>
          <w:bCs w:val="0"/>
        </w:rPr>
        <w:instrText xml:space="preserve"> FORMTEXT </w:instrText>
      </w:r>
      <w:r w:rsidR="000646F6">
        <w:rPr>
          <w:b w:val="0"/>
          <w:bCs w:val="0"/>
        </w:rPr>
      </w:r>
      <w:r w:rsidR="000646F6">
        <w:rPr>
          <w:b w:val="0"/>
          <w:bCs w:val="0"/>
        </w:rPr>
        <w:fldChar w:fldCharType="separate"/>
      </w:r>
      <w:r w:rsidR="000646F6">
        <w:rPr>
          <w:b w:val="0"/>
          <w:bCs w:val="0"/>
          <w:noProof/>
        </w:rPr>
        <w:t>15.000,00</w:t>
      </w:r>
      <w:r w:rsidR="000646F6">
        <w:rPr>
          <w:b w:val="0"/>
          <w:bCs w:val="0"/>
        </w:rPr>
        <w:fldChar w:fldCharType="end"/>
      </w:r>
      <w:r w:rsidRPr="00DA5D97">
        <w:rPr>
          <w:b w:val="0"/>
          <w:bCs w:val="0"/>
        </w:rPr>
        <w:t>.</w:t>
      </w:r>
      <w:bookmarkStart w:id="42" w:name="_Hlk124872251"/>
    </w:p>
    <w:bookmarkEnd w:id="42"/>
    <w:p w14:paraId="0B37405C" w14:textId="67522C3E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0646F6" w:rsidRPr="00C75F66">
        <w:rPr>
          <w:bCs w:val="0"/>
        </w:rPr>
        <w:t>01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3" w:name="_Hlk124872240"/>
      <w:r w:rsidR="000646F6">
        <w:rPr>
          <w:b w:val="0"/>
        </w:rPr>
        <w:fldChar w:fldCharType="begin">
          <w:ffData>
            <w:name w:val=""/>
            <w:enabled/>
            <w:calcOnExit w:val="0"/>
            <w:textInput>
              <w:default w:val="&quot;of vocational education&quot;"/>
            </w:textInput>
          </w:ffData>
        </w:fldChar>
      </w:r>
      <w:r w:rsidR="000646F6">
        <w:rPr>
          <w:b w:val="0"/>
        </w:rPr>
        <w:instrText xml:space="preserve"> FORMTEXT </w:instrText>
      </w:r>
      <w:r w:rsidR="000646F6">
        <w:rPr>
          <w:b w:val="0"/>
        </w:rPr>
      </w:r>
      <w:r w:rsidR="000646F6">
        <w:rPr>
          <w:b w:val="0"/>
        </w:rPr>
        <w:fldChar w:fldCharType="separate"/>
      </w:r>
      <w:r w:rsidR="000646F6">
        <w:rPr>
          <w:b w:val="0"/>
          <w:noProof/>
        </w:rPr>
        <w:t>"of vocational education"</w:t>
      </w:r>
      <w:r w:rsidR="000646F6">
        <w:rPr>
          <w:b w:val="0"/>
        </w:rPr>
        <w:fldChar w:fldCharType="end"/>
      </w:r>
    </w:p>
    <w:bookmarkEnd w:id="43"/>
    <w:p w14:paraId="200EC6B6" w14:textId="06A303B8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0646F6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 w:rsidR="000646F6">
        <w:rPr>
          <w:bCs w:val="0"/>
        </w:rPr>
        <w:instrText xml:space="preserve"> FORMTEXT </w:instrText>
      </w:r>
      <w:r w:rsidR="000646F6">
        <w:rPr>
          <w:bCs w:val="0"/>
        </w:rPr>
      </w:r>
      <w:r w:rsidR="000646F6">
        <w:rPr>
          <w:bCs w:val="0"/>
        </w:rPr>
        <w:fldChar w:fldCharType="separate"/>
      </w:r>
      <w:r w:rsidR="000646F6">
        <w:rPr>
          <w:bCs w:val="0"/>
          <w:noProof/>
        </w:rPr>
        <w:t>01</w:t>
      </w:r>
      <w:r w:rsidR="000646F6">
        <w:rPr>
          <w:bCs w:val="0"/>
        </w:rPr>
        <w:fldChar w:fldCharType="end"/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0646F6" w:rsidRPr="000646F6">
        <w:rPr>
          <w:b w:val="0"/>
        </w:rPr>
        <w:fldChar w:fldCharType="begin">
          <w:ffData>
            <w:name w:val=""/>
            <w:enabled/>
            <w:calcOnExit w:val="0"/>
            <w:textInput>
              <w:default w:val="in"/>
            </w:textInput>
          </w:ffData>
        </w:fldChar>
      </w:r>
      <w:r w:rsidR="000646F6" w:rsidRPr="000646F6">
        <w:rPr>
          <w:b w:val="0"/>
        </w:rPr>
        <w:instrText xml:space="preserve"> FORMTEXT </w:instrText>
      </w:r>
      <w:r w:rsidR="000646F6" w:rsidRPr="000646F6">
        <w:rPr>
          <w:b w:val="0"/>
        </w:rPr>
      </w:r>
      <w:r w:rsidR="000646F6" w:rsidRPr="000646F6">
        <w:rPr>
          <w:b w:val="0"/>
        </w:rPr>
        <w:fldChar w:fldCharType="separate"/>
      </w:r>
      <w:r w:rsidR="000646F6" w:rsidRPr="000646F6">
        <w:rPr>
          <w:b w:val="0"/>
          <w:noProof/>
        </w:rPr>
        <w:t>in</w:t>
      </w:r>
      <w:r w:rsidR="000646F6" w:rsidRPr="000646F6">
        <w:rPr>
          <w:b w:val="0"/>
        </w:rPr>
        <w:fldChar w:fldCharType="end"/>
      </w:r>
      <w:r w:rsidRPr="000646F6">
        <w:rPr>
          <w:b w:val="0"/>
          <w:color w:val="000000" w:themeColor="text1"/>
        </w:rPr>
        <w:t xml:space="preserve"> </w:t>
      </w:r>
      <w:r w:rsidR="000646F6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&quot;Central Asia&quot;"/>
            </w:textInput>
          </w:ffData>
        </w:fldChar>
      </w:r>
      <w:r w:rsidR="000646F6">
        <w:rPr>
          <w:bCs w:val="0"/>
        </w:rPr>
        <w:instrText xml:space="preserve"> FORMTEXT </w:instrText>
      </w:r>
      <w:r w:rsidR="000646F6">
        <w:rPr>
          <w:bCs w:val="0"/>
        </w:rPr>
      </w:r>
      <w:r w:rsidR="000646F6">
        <w:rPr>
          <w:bCs w:val="0"/>
        </w:rPr>
        <w:fldChar w:fldCharType="separate"/>
      </w:r>
      <w:r w:rsidR="000646F6">
        <w:rPr>
          <w:bCs w:val="0"/>
          <w:noProof/>
        </w:rPr>
        <w:t>"Central Asia"</w:t>
      </w:r>
      <w:r w:rsidR="000646F6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4" w:name="_Hlk124872272"/>
    </w:p>
    <w:bookmarkEnd w:id="44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5" w:name="_Hlk124872282"/>
    </w:p>
    <w:bookmarkEnd w:id="45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6" w:name="_Hlk124872297"/>
    </w:p>
    <w:bookmarkEnd w:id="46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05"/>
    </w:p>
    <w:bookmarkEnd w:id="47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8" w:name="_Hlk124872313"/>
    </w:p>
    <w:bookmarkEnd w:id="48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9" w:name="_Hlk124872322"/>
    </w:p>
    <w:bookmarkEnd w:id="49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0" w:name="_Toc154582623"/>
      <w:bookmarkStart w:id="51" w:name="_Toc218866212"/>
      <w:r w:rsidRPr="001E1B9C">
        <w:rPr>
          <w:rStyle w:val="berschrift3Zchn"/>
        </w:rPr>
        <w:lastRenderedPageBreak/>
        <w:t>Overview of reference projects</w:t>
      </w:r>
      <w:bookmarkEnd w:id="50"/>
      <w:bookmarkEnd w:id="51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2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berschrift3"/>
      </w:pPr>
      <w:bookmarkStart w:id="53" w:name="_Toc218866213"/>
      <w:r w:rsidRPr="001E1B9C">
        <w:t>Technical assessment – weighted criteria</w:t>
      </w:r>
      <w:bookmarkEnd w:id="52"/>
      <w:bookmarkEnd w:id="53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52B9996A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Pr="007A721F">
              <w:rPr>
                <w:rFonts w:cs="Arial"/>
                <w:i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lease enter the criteria and weightings"/>
                  </w:textInput>
                </w:ffData>
              </w:fldChar>
            </w:r>
            <w:r w:rsidRPr="007A721F">
              <w:rPr>
                <w:rFonts w:cs="Arial"/>
                <w:iCs/>
                <w:szCs w:val="22"/>
              </w:rPr>
              <w:instrText xml:space="preserve"> FORMTEXT </w:instrText>
            </w:r>
            <w:r w:rsidRPr="007A721F">
              <w:rPr>
                <w:rFonts w:cs="Arial"/>
                <w:iCs/>
                <w:szCs w:val="22"/>
              </w:rPr>
            </w:r>
            <w:r w:rsidRPr="007A721F">
              <w:rPr>
                <w:rFonts w:cs="Arial"/>
                <w:iCs/>
                <w:szCs w:val="22"/>
              </w:rPr>
              <w:fldChar w:fldCharType="separate"/>
            </w:r>
            <w:r>
              <w:t>Please enter the criteria and weightings</w:t>
            </w:r>
            <w:r w:rsidRPr="007A721F">
              <w:rPr>
                <w:rFonts w:cs="Arial"/>
                <w:iCs/>
                <w:szCs w:val="22"/>
              </w:rPr>
              <w:fldChar w:fldCharType="end"/>
            </w:r>
          </w:p>
          <w:p w14:paraId="25EA3E11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65BE799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0EEF93B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ADC0B87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77777777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6A3F7E35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4" w:name="_Hlk124872355"/>
      <w:bookmarkEnd w:id="54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893D" w14:textId="77777777" w:rsidR="009F20A5" w:rsidRDefault="009F20A5" w:rsidP="00A637D0">
      <w:r>
        <w:separator/>
      </w:r>
    </w:p>
  </w:endnote>
  <w:endnote w:type="continuationSeparator" w:id="0">
    <w:p w14:paraId="4D8AC27B" w14:textId="77777777" w:rsidR="009F20A5" w:rsidRDefault="009F20A5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2BDF" w14:textId="77777777" w:rsidR="009F20A5" w:rsidRDefault="009F20A5" w:rsidP="00A637D0">
      <w:r>
        <w:separator/>
      </w:r>
    </w:p>
  </w:footnote>
  <w:footnote w:type="continuationSeparator" w:id="0">
    <w:p w14:paraId="33C5A918" w14:textId="77777777" w:rsidR="009F20A5" w:rsidRDefault="009F20A5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646F6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0FA6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349A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26792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5DB3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53C3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3C66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64A89"/>
    <w:rsid w:val="007702B2"/>
    <w:rsid w:val="00770C32"/>
    <w:rsid w:val="007715C9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00D5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D4218"/>
    <w:rsid w:val="009E0B2D"/>
    <w:rsid w:val="009E4E08"/>
    <w:rsid w:val="009E7DE5"/>
    <w:rsid w:val="009E7E71"/>
    <w:rsid w:val="009F0798"/>
    <w:rsid w:val="009F1656"/>
    <w:rsid w:val="009F20A5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246CE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5F66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5C28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E349A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B3707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41B32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10</Pages>
  <Words>1858</Words>
  <Characters>11710</Characters>
  <Application>Microsoft Office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Ndiaye, Mame Xere GIZ</cp:lastModifiedBy>
  <cp:revision>3</cp:revision>
  <cp:lastPrinted>2018-02-16T12:47:00Z</cp:lastPrinted>
  <dcterms:created xsi:type="dcterms:W3CDTF">2026-04-02T21:16:00Z</dcterms:created>
  <dcterms:modified xsi:type="dcterms:W3CDTF">2026-04-02T21:18:00Z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